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F9" w:rsidRDefault="00D708F9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D62360">
        <w:rPr>
          <w:rFonts w:hint="eastAsia"/>
          <w:snapToGrid w:val="0"/>
        </w:rPr>
        <w:t>１６号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D62360">
        <w:rPr>
          <w:rFonts w:hint="eastAsia"/>
          <w:snapToGrid w:val="0"/>
        </w:rPr>
        <w:t>１１条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:rsidR="00D708F9" w:rsidRDefault="00D708F9">
      <w:pPr>
        <w:rPr>
          <w:snapToGrid w:val="0"/>
        </w:rPr>
      </w:pPr>
    </w:p>
    <w:p w:rsidR="00D708F9" w:rsidRDefault="00D708F9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spacing w:val="140"/>
        </w:rPr>
        <w:t>煙火消費計画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346"/>
        <w:gridCol w:w="1346"/>
        <w:gridCol w:w="1346"/>
        <w:gridCol w:w="1346"/>
        <w:gridCol w:w="1346"/>
      </w:tblGrid>
      <w:tr w:rsidR="00D708F9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消費目的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消費場所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消費期間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から　　　　年　　月　　日　まで　</w:t>
            </w:r>
          </w:p>
        </w:tc>
      </w:tr>
      <w:tr w:rsidR="00D708F9">
        <w:trPr>
          <w:cantSplit/>
          <w:trHeight w:hRule="exact" w:val="420"/>
        </w:trPr>
        <w:tc>
          <w:tcPr>
            <w:tcW w:w="2310" w:type="dxa"/>
            <w:gridSpan w:val="2"/>
            <w:vMerge w:val="restart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煙火販売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打揚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業者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事務所所在地、名称又は代表者氏名</w:t>
            </w:r>
            <w:r>
              <w:rPr>
                <w:snapToGrid w:val="0"/>
              </w:rPr>
              <w:t>)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20"/>
        </w:trPr>
        <w:tc>
          <w:tcPr>
            <w:tcW w:w="2310" w:type="dxa"/>
            <w:gridSpan w:val="2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20"/>
        </w:trPr>
        <w:tc>
          <w:tcPr>
            <w:tcW w:w="2310" w:type="dxa"/>
            <w:gridSpan w:val="2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消費数量の内</w:t>
            </w:r>
            <w:r>
              <w:rPr>
                <w:rFonts w:hint="eastAsia"/>
                <w:snapToGrid w:val="0"/>
              </w:rPr>
              <w:t>訳</w:t>
            </w:r>
          </w:p>
        </w:tc>
        <w:tc>
          <w:tcPr>
            <w:tcW w:w="1890" w:type="dxa"/>
            <w:vMerge w:val="restart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　日　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2.5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号玉</w:t>
            </w:r>
          </w:p>
        </w:tc>
      </w:tr>
      <w:tr w:rsidR="00D708F9"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708F9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号玉以上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仕</w:t>
            </w:r>
            <w:r>
              <w:rPr>
                <w:rFonts w:hint="eastAsia"/>
                <w:snapToGrid w:val="0"/>
              </w:rPr>
              <w:t>掛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スターマイン</w:t>
            </w:r>
          </w:p>
        </w:tc>
      </w:tr>
      <w:tr w:rsidR="00D708F9"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708F9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　　日　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2.5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号玉</w:t>
            </w:r>
          </w:p>
        </w:tc>
      </w:tr>
      <w:tr w:rsidR="00D708F9"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708F9"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号玉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号玉以上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仕</w:t>
            </w:r>
            <w:r>
              <w:rPr>
                <w:rFonts w:hint="eastAsia"/>
                <w:snapToGrid w:val="0"/>
              </w:rPr>
              <w:t>掛</w:t>
            </w: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スターマイン</w:t>
            </w:r>
          </w:p>
        </w:tc>
      </w:tr>
      <w:tr w:rsidR="00D708F9">
        <w:trPr>
          <w:cantSplit/>
          <w:trHeight w:hRule="exact" w:val="735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snapToGrid w:val="0"/>
              </w:rPr>
              <w:t>()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D708F9"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消費の方法</w:t>
            </w:r>
          </w:p>
        </w:tc>
        <w:tc>
          <w:tcPr>
            <w:tcW w:w="189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打揚方法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打揚方法　　早打、単発、連発　筒の固定方法　杭打、枠組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筒相互間の距離　　　</w:t>
            </w:r>
            <w:r>
              <w:rPr>
                <w:snapToGrid w:val="0"/>
              </w:rPr>
              <w:t>m</w:t>
            </w:r>
            <w:r>
              <w:rPr>
                <w:rFonts w:hint="eastAsia"/>
                <w:snapToGrid w:val="0"/>
              </w:rPr>
              <w:t xml:space="preserve">　仕掛と打揚筒の距離　　　</w:t>
            </w:r>
            <w:r>
              <w:rPr>
                <w:snapToGrid w:val="0"/>
              </w:rPr>
              <w:t>m</w:t>
            </w: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点火の方法　焼金、速火線、導火線、電気点火</w:t>
            </w:r>
          </w:p>
        </w:tc>
      </w:tr>
      <w:tr w:rsidR="00D708F9">
        <w:trPr>
          <w:cantSplit/>
          <w:trHeight w:hRule="exact" w:val="1890"/>
        </w:trPr>
        <w:tc>
          <w:tcPr>
            <w:tcW w:w="2310" w:type="dxa"/>
            <w:gridSpan w:val="2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煙火置場の概要</w:t>
            </w:r>
          </w:p>
        </w:tc>
        <w:tc>
          <w:tcPr>
            <w:tcW w:w="6730" w:type="dxa"/>
            <w:gridSpan w:val="5"/>
            <w:vAlign w:val="center"/>
          </w:tcPr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　建屋、テント張り、シート被覆、車両</w:t>
            </w:r>
          </w:p>
          <w:p w:rsidR="00D708F9" w:rsidRDefault="00D708F9">
            <w:pPr>
              <w:ind w:left="100" w:right="100"/>
              <w:rPr>
                <w:snapToGrid w:val="0"/>
              </w:rPr>
            </w:pPr>
          </w:p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筒場までの距離　　　　</w:t>
            </w:r>
            <w:r>
              <w:rPr>
                <w:snapToGrid w:val="0"/>
              </w:rPr>
              <w:t>m</w:t>
            </w:r>
            <w:r>
              <w:rPr>
                <w:rFonts w:hint="eastAsia"/>
                <w:snapToGrid w:val="0"/>
              </w:rPr>
              <w:t xml:space="preserve">　警戒札　煙火、立入禁止、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</w:p>
          <w:p w:rsidR="00D708F9" w:rsidRDefault="00D708F9">
            <w:pPr>
              <w:ind w:left="100" w:right="100"/>
              <w:rPr>
                <w:snapToGrid w:val="0"/>
              </w:rPr>
            </w:pPr>
          </w:p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収納容器　木箱、ダンボール箱、プラスチック箱</w:t>
            </w:r>
          </w:p>
        </w:tc>
      </w:tr>
    </w:tbl>
    <w:p w:rsidR="00D708F9" w:rsidRDefault="00D708F9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30"/>
        <w:gridCol w:w="2165"/>
        <w:gridCol w:w="1470"/>
        <w:gridCol w:w="630"/>
        <w:gridCol w:w="2165"/>
      </w:tblGrid>
      <w:tr w:rsidR="00D708F9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lastRenderedPageBreak/>
              <w:t>危害予防の方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警戒の方法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別図のとおり立入検査禁止区域を設け、警戒員　　　　名を配置する。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交通制限</w:t>
            </w:r>
          </w:p>
          <w:p w:rsidR="00D708F9" w:rsidRDefault="00D708F9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要・否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通行車両等　　定期バス、不定期自動車、軽車両、歩行者</w:t>
            </w:r>
          </w:p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遮断時間　　　時　　　分　から　　　時　　　分　まで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防火措置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消火用水、消火器、可搬水のう散水器、ポンプ車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図示のとおり</w:t>
            </w:r>
            <w:r>
              <w:rPr>
                <w:snapToGrid w:val="0"/>
              </w:rPr>
              <w:t>)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防護措置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畳、その他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を使用する。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不発処理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筒内における不発は、多量の水を注入し、黒玉及び燃え残りの星等は速やかに回収し、水に浸す。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運搬方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距離・時間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消費場所までの距離　　　　</w:t>
            </w:r>
            <w:r>
              <w:rPr>
                <w:snapToGrid w:val="0"/>
              </w:rPr>
              <w:t>km</w:t>
            </w:r>
            <w:r>
              <w:rPr>
                <w:rFonts w:hint="eastAsia"/>
                <w:snapToGrid w:val="0"/>
              </w:rPr>
              <w:t xml:space="preserve">　所要時間　　　時間　　　分</w:t>
            </w:r>
          </w:p>
        </w:tc>
      </w:tr>
      <w:tr w:rsidR="00D708F9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運搬車両</w:t>
            </w:r>
          </w:p>
        </w:tc>
        <w:tc>
          <w:tcPr>
            <w:tcW w:w="7060" w:type="dxa"/>
            <w:gridSpan w:val="5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自動車、軽車両、委託運搬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委託先　　　　　　　　　　</w:t>
            </w:r>
            <w:r>
              <w:rPr>
                <w:snapToGrid w:val="0"/>
              </w:rPr>
              <w:t>)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D708F9" w:rsidRDefault="00D708F9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消費従事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手帳の種類・番号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手帳の種類・番号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08F9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tcBorders>
              <w:right w:val="double" w:sz="4" w:space="0" w:color="auto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5" w:type="dxa"/>
            <w:vAlign w:val="center"/>
          </w:tcPr>
          <w:p w:rsidR="00D708F9" w:rsidRDefault="00D708F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708F9" w:rsidRDefault="00D708F9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消費場所を中心に半径</w:t>
      </w:r>
      <w:r>
        <w:rPr>
          <w:snapToGrid w:val="0"/>
        </w:rPr>
        <w:t>300m</w:t>
      </w:r>
      <w:r>
        <w:rPr>
          <w:rFonts w:hint="eastAsia"/>
          <w:snapToGrid w:val="0"/>
        </w:rPr>
        <w:t>の見取図</w:t>
      </w:r>
    </w:p>
    <w:p w:rsidR="00D708F9" w:rsidRDefault="00D708F9">
      <w:pPr>
        <w:ind w:left="1365" w:hanging="1365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備</w:t>
      </w:r>
      <w:r>
        <w:rPr>
          <w:rFonts w:hint="eastAsia"/>
          <w:snapToGrid w:val="0"/>
        </w:rPr>
        <w:t xml:space="preserve">考　</w:t>
      </w:r>
      <w:r w:rsidR="00796100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消費数量の内訳の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には仕掛の裏打及びスターマインに使用する数量を内書きで記入すること。</w:t>
      </w:r>
    </w:p>
    <w:p w:rsidR="00DE0C94" w:rsidRDefault="00D708F9">
      <w:pPr>
        <w:ind w:left="1365" w:hanging="1365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796100">
        <w:rPr>
          <w:rFonts w:hint="eastAsia"/>
          <w:snapToGrid w:val="0"/>
        </w:rPr>
        <w:t>２</w:t>
      </w:r>
      <w:bookmarkStart w:id="0" w:name="_GoBack"/>
      <w:bookmarkEnd w:id="0"/>
      <w:r>
        <w:rPr>
          <w:rFonts w:hint="eastAsia"/>
          <w:snapToGrid w:val="0"/>
        </w:rPr>
        <w:t xml:space="preserve">　指揮監督者は氏名に○印を付けること。</w:t>
      </w:r>
    </w:p>
    <w:sectPr w:rsidR="00DE0C94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1D" w:rsidRDefault="002E761D" w:rsidP="0092756E">
      <w:r>
        <w:separator/>
      </w:r>
    </w:p>
  </w:endnote>
  <w:endnote w:type="continuationSeparator" w:id="0">
    <w:p w:rsidR="002E761D" w:rsidRDefault="002E761D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1D" w:rsidRDefault="002E761D" w:rsidP="0092756E">
      <w:r>
        <w:separator/>
      </w:r>
    </w:p>
  </w:footnote>
  <w:footnote w:type="continuationSeparator" w:id="0">
    <w:p w:rsidR="002E761D" w:rsidRDefault="002E761D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94"/>
    <w:rsid w:val="001A3614"/>
    <w:rsid w:val="002E761D"/>
    <w:rsid w:val="00353959"/>
    <w:rsid w:val="003A3AA0"/>
    <w:rsid w:val="00461C44"/>
    <w:rsid w:val="00562027"/>
    <w:rsid w:val="00796100"/>
    <w:rsid w:val="007A780D"/>
    <w:rsid w:val="0092756E"/>
    <w:rsid w:val="00A43ED9"/>
    <w:rsid w:val="00D62360"/>
    <w:rsid w:val="00D63107"/>
    <w:rsid w:val="00D708F9"/>
    <w:rsid w:val="00DA40EF"/>
    <w:rsid w:val="00D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3A2EFC-C0F9-46D9-B131-123A63A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1A36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様式第16号(第11条関係)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様式第16号(第11条関係)</dc:title>
  <dc:subject/>
  <dc:creator>(株)ぎょうせい</dc:creator>
  <cp:keywords/>
  <dc:description/>
  <cp:lastModifiedBy>消防本部 予防課4（保安主任）</cp:lastModifiedBy>
  <cp:revision>5</cp:revision>
  <dcterms:created xsi:type="dcterms:W3CDTF">2016-08-17T01:49:00Z</dcterms:created>
  <dcterms:modified xsi:type="dcterms:W3CDTF">2019-09-04T06:37:00Z</dcterms:modified>
</cp:coreProperties>
</file>